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left="-1260" w:leftChars="-600" w:firstLine="1059" w:firstLineChars="331"/>
        <w:jc w:val="left"/>
        <w:rPr>
          <w:rFonts w:ascii="黑体" w:hAnsi="黑体" w:eastAsia="黑体" w:cs="黑体"/>
          <w:sz w:val="32"/>
          <w:szCs w:val="32"/>
        </w:rPr>
      </w:pPr>
      <w:r>
        <w:rPr>
          <w:rFonts w:hint="eastAsia" w:ascii="黑体" w:hAnsi="黑体" w:eastAsia="黑体" w:cs="黑体"/>
          <w:sz w:val="32"/>
          <w:szCs w:val="32"/>
        </w:rPr>
        <w:t>附件</w:t>
      </w:r>
    </w:p>
    <w:p>
      <w:pPr>
        <w:snapToGrid w:val="0"/>
        <w:spacing w:line="600" w:lineRule="exact"/>
        <w:ind w:firstLine="2570" w:firstLineChars="800"/>
        <w:jc w:val="left"/>
        <w:rPr>
          <w:rFonts w:ascii="黑体" w:hAnsi="黑体" w:eastAsia="黑体" w:cs="黑体"/>
          <w:b/>
          <w:bCs/>
          <w:sz w:val="32"/>
          <w:szCs w:val="32"/>
        </w:rPr>
      </w:pPr>
      <w:bookmarkStart w:id="1" w:name="_GoBack"/>
      <w:bookmarkStart w:id="0" w:name="OLE_LINK1"/>
      <w:r>
        <w:rPr>
          <w:rFonts w:hint="eastAsia" w:ascii="仿宋_GB2312" w:hAnsi="仿宋_GB2312" w:eastAsia="仿宋_GB2312" w:cs="仿宋_GB2312"/>
          <w:b/>
          <w:bCs/>
          <w:sz w:val="32"/>
          <w:szCs w:val="32"/>
        </w:rPr>
        <w:t>学院迎接省级文明单位复查验收实地考察任务分工表</w:t>
      </w:r>
      <w:bookmarkEnd w:id="0"/>
    </w:p>
    <w:bookmarkEnd w:id="1"/>
    <w:tbl>
      <w:tblPr>
        <w:tblStyle w:val="5"/>
        <w:tblW w:w="12992" w:type="dxa"/>
        <w:jc w:val="center"/>
        <w:tblInd w:w="-1594" w:type="dxa"/>
        <w:tblLayout w:type="fixed"/>
        <w:tblCellMar>
          <w:top w:w="15" w:type="dxa"/>
          <w:left w:w="15" w:type="dxa"/>
          <w:bottom w:w="15" w:type="dxa"/>
          <w:right w:w="15" w:type="dxa"/>
        </w:tblCellMar>
      </w:tblPr>
      <w:tblGrid>
        <w:gridCol w:w="589"/>
        <w:gridCol w:w="1483"/>
        <w:gridCol w:w="5376"/>
        <w:gridCol w:w="3142"/>
        <w:gridCol w:w="1208"/>
        <w:gridCol w:w="1194"/>
      </w:tblGrid>
      <w:tr>
        <w:tblPrEx>
          <w:tblLayout w:type="fixed"/>
          <w:tblCellMar>
            <w:top w:w="15" w:type="dxa"/>
            <w:left w:w="15" w:type="dxa"/>
            <w:bottom w:w="15" w:type="dxa"/>
            <w:right w:w="15" w:type="dxa"/>
          </w:tblCellMar>
        </w:tblPrEx>
        <w:trPr>
          <w:trHeight w:val="5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测评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项目</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测评指标</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测评内容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测评要求</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得分标准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任务分工</w:t>
            </w:r>
          </w:p>
        </w:tc>
      </w:tr>
      <w:tr>
        <w:tblPrEx>
          <w:tblLayout w:type="fixed"/>
          <w:tblCellMar>
            <w:top w:w="15" w:type="dxa"/>
            <w:left w:w="15" w:type="dxa"/>
            <w:bottom w:w="15" w:type="dxa"/>
            <w:right w:w="15" w:type="dxa"/>
          </w:tblCellMar>
        </w:tblPrEx>
        <w:trPr>
          <w:trHeight w:val="1080"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lang w:bidi="ar"/>
              </w:rPr>
              <w:t>Ⅰ-11</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创</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建</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氛</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围</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5分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Ⅱ-29核心价值观宣传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Ⅲ-44用电子显示屏、文化墙、固定广告牌等广泛宣传展示习近平新时代中国特色社会主义思想和党的十九大精神，宣传展示社会主义核心价值观12个主题词和“讲文明树新风”公益广告。</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43）察看5处以上公益广告，能经常更新，不陈旧破损。</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少1处扣0.5分，扣完为止。</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43）宣传部</w:t>
            </w:r>
          </w:p>
        </w:tc>
      </w:tr>
      <w:tr>
        <w:tblPrEx>
          <w:tblLayout w:type="fixed"/>
          <w:tblCellMar>
            <w:top w:w="15" w:type="dxa"/>
            <w:left w:w="15" w:type="dxa"/>
            <w:bottom w:w="15" w:type="dxa"/>
            <w:right w:w="15" w:type="dxa"/>
          </w:tblCellMar>
        </w:tblPrEx>
        <w:trPr>
          <w:trHeight w:val="72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_GB2312" w:hAnsi="宋体" w:eastAsia="楷体_GB2312" w:cs="楷体_GB2312"/>
                <w:b/>
                <w:color w:val="000000"/>
                <w:sz w:val="20"/>
                <w:szCs w:val="20"/>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Ⅱ-30先进典型宣传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Ⅲ-45建立精神文明建设先进典型宣传阵地，图文并茂宣传先进典型事迹。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44）不陈旧破损，定期更新。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符合要求得1分。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44）宣传部</w:t>
            </w:r>
          </w:p>
        </w:tc>
      </w:tr>
      <w:tr>
        <w:tblPrEx>
          <w:tblLayout w:type="fixed"/>
          <w:tblCellMar>
            <w:top w:w="15" w:type="dxa"/>
            <w:left w:w="15" w:type="dxa"/>
            <w:bottom w:w="15" w:type="dxa"/>
            <w:right w:w="15" w:type="dxa"/>
          </w:tblCellMar>
        </w:tblPrEx>
        <w:trPr>
          <w:trHeight w:val="1502"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_GB2312" w:hAnsi="宋体" w:eastAsia="楷体_GB2312" w:cs="楷体_GB2312"/>
                <w:b/>
                <w:color w:val="000000"/>
                <w:sz w:val="20"/>
                <w:szCs w:val="20"/>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Ⅱ-31精神文明创建宣传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Style w:val="8"/>
                <w:rFonts w:hint="default"/>
                <w:lang w:bidi="ar"/>
              </w:rPr>
              <w:t>Ⅲ-46利用多种形式宣传展示创建工作内容，展示各类精神文明创建活动图片和有关情况；</w:t>
            </w:r>
            <w:r>
              <w:rPr>
                <w:rStyle w:val="8"/>
                <w:rFonts w:hint="default"/>
                <w:lang w:bidi="ar"/>
              </w:rPr>
              <w:br w:type="textWrapping"/>
            </w:r>
            <w:r>
              <w:rPr>
                <w:rStyle w:val="8"/>
                <w:rFonts w:hint="default"/>
                <w:lang w:bidi="ar"/>
              </w:rPr>
              <w:t>Ⅲ-47办公场所有体现理想信念、道德观念、价值理念，体现行业规范、职业精神、企业文化的宣传图或文化墙；</w:t>
            </w:r>
            <w:r>
              <w:rPr>
                <w:rStyle w:val="8"/>
                <w:rFonts w:hint="default"/>
                <w:lang w:bidi="ar"/>
              </w:rPr>
              <w:br w:type="textWrapping"/>
            </w:r>
            <w:r>
              <w:rPr>
                <w:rStyle w:val="8"/>
                <w:rFonts w:hint="default"/>
                <w:lang w:bidi="ar"/>
              </w:rPr>
              <w:t>Ⅲ-48干部职工对创建工作的参与率</w:t>
            </w:r>
            <w:r>
              <w:rPr>
                <w:rStyle w:val="9"/>
                <w:rFonts w:eastAsia="宋体"/>
                <w:lang w:bidi="ar"/>
              </w:rPr>
              <w:t>≥</w:t>
            </w:r>
            <w:r>
              <w:rPr>
                <w:rStyle w:val="8"/>
                <w:rFonts w:hint="default"/>
                <w:lang w:bidi="ar"/>
              </w:rPr>
              <w:t>95%，对本单位创建工作的满意度≥90%。</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45）展示栏定期更新，没有陈旧破损；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46）抽查3个办公场所，有宣传展示；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47）干部职工的参与率和满意度均符合要求。</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1项不符合要求扣1分，扣完为止。</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45）46)47)宣传部及相关单位</w:t>
            </w:r>
          </w:p>
        </w:tc>
      </w:tr>
      <w:tr>
        <w:tblPrEx>
          <w:tblLayout w:type="fixed"/>
          <w:tblCellMar>
            <w:top w:w="15" w:type="dxa"/>
            <w:left w:w="15" w:type="dxa"/>
            <w:bottom w:w="15" w:type="dxa"/>
            <w:right w:w="15" w:type="dxa"/>
          </w:tblCellMar>
        </w:tblPrEx>
        <w:trPr>
          <w:trHeight w:val="1080"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lang w:bidi="ar"/>
              </w:rPr>
              <w:t>Ⅰ-12</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优</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质</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服</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务</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5分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Ⅱ-32便民服务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Ⅲ-49健全服务规范，细化服务标准，公开服务承诺，干部职工文明用语、礼貌待人、规范服务，设立服务规范、服务标准、优质服务承诺或办事指南，并在明显位置公示。</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48）服务规范、服务标准在明显位置公示；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49）服务承诺切合实际，办事指南清晰明了，并在明显位置公示；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50）有便民服务设施，窗口设有志愿服务站点。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符合要求，每项1分。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sz w:val="22"/>
              </w:rPr>
              <w:t>4</w:t>
            </w:r>
            <w:r>
              <w:rPr>
                <w:rFonts w:hint="eastAsia" w:ascii="宋体" w:hAnsi="宋体" w:eastAsia="宋体" w:cs="宋体"/>
                <w:color w:val="000000"/>
                <w:kern w:val="0"/>
                <w:sz w:val="20"/>
                <w:szCs w:val="20"/>
                <w:lang w:bidi="ar"/>
              </w:rPr>
              <w:t>8）49）后勤、招生就业处、学工处、图书馆</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50）团委</w:t>
            </w:r>
          </w:p>
        </w:tc>
      </w:tr>
      <w:tr>
        <w:tblPrEx>
          <w:tblLayout w:type="fixed"/>
          <w:tblCellMar>
            <w:top w:w="15" w:type="dxa"/>
            <w:left w:w="15" w:type="dxa"/>
            <w:bottom w:w="15" w:type="dxa"/>
            <w:right w:w="15" w:type="dxa"/>
          </w:tblCellMar>
        </w:tblPrEx>
        <w:trPr>
          <w:trHeight w:val="1505"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_GB2312" w:hAnsi="宋体" w:eastAsia="楷体_GB2312" w:cs="楷体_GB2312"/>
                <w:b/>
                <w:color w:val="000000"/>
                <w:sz w:val="20"/>
                <w:szCs w:val="20"/>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Ⅱ-33员工风貌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Ⅲ-50干部职工文明用语、礼貌待人、规范服务，无门难进、脸难看、事难办及“冷、硬、拖、卡”等突出问题。</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51）干部职工用语文明、热情礼貌、服务规范，积极向上，精神状态良好；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52）值班人员在职在岗，履行职责。</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符合要求，每项1分。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51）各部门</w:t>
            </w:r>
          </w:p>
        </w:tc>
      </w:tr>
      <w:tr>
        <w:tblPrEx>
          <w:tblLayout w:type="fixed"/>
          <w:tblCellMar>
            <w:top w:w="15" w:type="dxa"/>
            <w:left w:w="15" w:type="dxa"/>
            <w:bottom w:w="15" w:type="dxa"/>
            <w:right w:w="15" w:type="dxa"/>
          </w:tblCellMar>
        </w:tblPrEx>
        <w:trPr>
          <w:trHeight w:val="1469"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lang w:bidi="ar"/>
              </w:rPr>
              <w:t>Ⅰ-13</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内</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外</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环</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境</w:t>
            </w:r>
            <w:r>
              <w:rPr>
                <w:rFonts w:hint="eastAsia" w:ascii="楷体_GB2312" w:hAnsi="宋体" w:eastAsia="楷体_GB2312" w:cs="楷体_GB2312"/>
                <w:b/>
                <w:color w:val="000000"/>
                <w:kern w:val="0"/>
                <w:sz w:val="20"/>
                <w:szCs w:val="20"/>
                <w:lang w:bidi="ar"/>
              </w:rPr>
              <w:br w:type="textWrapping"/>
            </w:r>
            <w:r>
              <w:rPr>
                <w:rFonts w:hint="eastAsia" w:ascii="楷体_GB2312" w:hAnsi="宋体" w:eastAsia="楷体_GB2312" w:cs="楷体_GB2312"/>
                <w:b/>
                <w:color w:val="000000"/>
                <w:kern w:val="0"/>
                <w:sz w:val="20"/>
                <w:szCs w:val="20"/>
                <w:lang w:bidi="ar"/>
              </w:rPr>
              <w:t>5分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Ⅱ-34整洁有序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Ⅲ-51单位环境干净整洁、无卫生死角，无乱写乱画、乱摆乱放、乱搭乱建，管理精细，秩序井然。</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53）察看单位门前、院内、室内（食堂）、卫生间、办公室、车辆停放等部位，干净整洁。</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一处脏乱扣0.5分，扣完为止。</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53）各部门</w:t>
            </w:r>
          </w:p>
        </w:tc>
      </w:tr>
      <w:tr>
        <w:tblPrEx>
          <w:tblLayout w:type="fixed"/>
          <w:tblCellMar>
            <w:top w:w="15" w:type="dxa"/>
            <w:left w:w="15" w:type="dxa"/>
            <w:bottom w:w="15" w:type="dxa"/>
            <w:right w:w="15" w:type="dxa"/>
          </w:tblCellMar>
        </w:tblPrEx>
        <w:trPr>
          <w:trHeight w:val="1637"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_GB2312" w:hAnsi="宋体" w:eastAsia="楷体_GB2312" w:cs="楷体_GB2312"/>
                <w:b/>
                <w:color w:val="000000"/>
                <w:sz w:val="20"/>
                <w:szCs w:val="20"/>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Ⅱ-35文体活动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Ⅲ-52有必要的文化设施和体育设施，能够正常使用；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Ⅲ-53定期开展文化体育活动。</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54）察看文体设施场所，没有废弃闲置；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55）察看活动记录和文体设施使用登记。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符合要求，每项1分。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54）55）工会、文艺体育部</w:t>
            </w:r>
          </w:p>
        </w:tc>
      </w:tr>
      <w:tr>
        <w:tblPrEx>
          <w:tblLayout w:type="fixed"/>
          <w:tblCellMar>
            <w:top w:w="15" w:type="dxa"/>
            <w:left w:w="15" w:type="dxa"/>
            <w:bottom w:w="15" w:type="dxa"/>
            <w:right w:w="15" w:type="dxa"/>
          </w:tblCellMar>
        </w:tblPrEx>
        <w:trPr>
          <w:trHeight w:val="1614"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_GB2312" w:hAnsi="宋体" w:eastAsia="楷体_GB2312" w:cs="楷体_GB2312"/>
                <w:b/>
                <w:color w:val="000000"/>
                <w:sz w:val="20"/>
                <w:szCs w:val="20"/>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Ⅱ-36环境优美</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（1分）</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Style w:val="8"/>
                <w:rFonts w:hint="default"/>
                <w:lang w:bidi="ar"/>
              </w:rPr>
              <w:t>Ⅲ-54办公生产经营场所设计合理，各类设施完好、功能齐全、使用方便；</w:t>
            </w:r>
            <w:r>
              <w:rPr>
                <w:rStyle w:val="10"/>
                <w:rFonts w:eastAsia="宋体"/>
                <w:lang w:bidi="ar"/>
              </w:rPr>
              <w:br w:type="textWrapping"/>
            </w:r>
            <w:r>
              <w:rPr>
                <w:rStyle w:val="8"/>
                <w:rFonts w:hint="default"/>
                <w:lang w:bidi="ar"/>
              </w:rPr>
              <w:t>Ⅲ-55单位绿化良好、内外环境美观宜人。</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56）察看单位办公或生产经营场所内外环境状况。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符合要求得1分。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56）各部门</w:t>
            </w:r>
          </w:p>
        </w:tc>
      </w:tr>
    </w:tbl>
    <w:p>
      <w:pPr>
        <w:snapToGrid w:val="0"/>
        <w:spacing w:line="600" w:lineRule="exact"/>
        <w:jc w:val="left"/>
        <w:rPr>
          <w:rFonts w:ascii="黑体" w:hAnsi="黑体" w:eastAsia="黑体" w:cs="黑体"/>
          <w:sz w:val="32"/>
          <w:szCs w:val="32"/>
        </w:rPr>
      </w:pPr>
    </w:p>
    <w:p/>
    <w:p>
      <w:pPr>
        <w:ind w:firstLine="560" w:firstLineChars="200"/>
        <w:rPr>
          <w:rFonts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10BBC"/>
    <w:rsid w:val="000468C4"/>
    <w:rsid w:val="00051DB0"/>
    <w:rsid w:val="000D1B9B"/>
    <w:rsid w:val="00283B16"/>
    <w:rsid w:val="00475917"/>
    <w:rsid w:val="00524249"/>
    <w:rsid w:val="0062447A"/>
    <w:rsid w:val="007063F1"/>
    <w:rsid w:val="00DE7EBA"/>
    <w:rsid w:val="00E218BF"/>
    <w:rsid w:val="00EB0FC2"/>
    <w:rsid w:val="063846F9"/>
    <w:rsid w:val="0A4077FC"/>
    <w:rsid w:val="13EB51C8"/>
    <w:rsid w:val="17DA1214"/>
    <w:rsid w:val="190362D0"/>
    <w:rsid w:val="203C4549"/>
    <w:rsid w:val="26B238CB"/>
    <w:rsid w:val="2B51585D"/>
    <w:rsid w:val="34166326"/>
    <w:rsid w:val="376E6244"/>
    <w:rsid w:val="39AF182D"/>
    <w:rsid w:val="3D82293C"/>
    <w:rsid w:val="3DA10BBC"/>
    <w:rsid w:val="48B93721"/>
    <w:rsid w:val="49774E06"/>
    <w:rsid w:val="4EA467A8"/>
    <w:rsid w:val="54811767"/>
    <w:rsid w:val="55800040"/>
    <w:rsid w:val="6A2A55FF"/>
    <w:rsid w:val="6F2D4926"/>
    <w:rsid w:val="799B5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 w:type="character" w:customStyle="1" w:styleId="8">
    <w:name w:val="font31"/>
    <w:basedOn w:val="4"/>
    <w:qFormat/>
    <w:uiPriority w:val="0"/>
    <w:rPr>
      <w:rFonts w:hint="eastAsia" w:ascii="宋体" w:hAnsi="宋体" w:eastAsia="宋体" w:cs="宋体"/>
      <w:color w:val="000000"/>
      <w:sz w:val="20"/>
      <w:szCs w:val="20"/>
      <w:u w:val="none"/>
    </w:rPr>
  </w:style>
  <w:style w:type="character" w:customStyle="1" w:styleId="9">
    <w:name w:val="font21"/>
    <w:basedOn w:val="4"/>
    <w:qFormat/>
    <w:uiPriority w:val="0"/>
    <w:rPr>
      <w:rFonts w:ascii="Arial" w:hAnsi="Arial" w:cs="Arial"/>
      <w:color w:val="000000"/>
      <w:sz w:val="20"/>
      <w:szCs w:val="20"/>
      <w:u w:val="none"/>
    </w:rPr>
  </w:style>
  <w:style w:type="character" w:customStyle="1" w:styleId="10">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399</Words>
  <Characters>2280</Characters>
  <Lines>19</Lines>
  <Paragraphs>5</Paragraphs>
  <TotalTime>14</TotalTime>
  <ScaleCrop>false</ScaleCrop>
  <LinksUpToDate>false</LinksUpToDate>
  <CharactersWithSpaces>2674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2018-09-14T01:21:00Z</dcterms:created>
  <dc:creator>4℃</dc:creator>
  <cp:lastModifiedBy>Administrator</cp:lastModifiedBy>
  <dcterms:modified xsi:type="dcterms:W3CDTF">2018-09-14T01:56:41Z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